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 xml:space="preserve">6                                                         </w:t>
      </w:r>
      <w:r>
        <w:rPr>
          <w:rFonts w:hint="eastAsia"/>
          <w:lang w:eastAsia="ja-JP"/>
        </w:rPr>
        <w:t>R3-247700</w:t>
      </w:r>
    </w:p>
    <w:p>
      <w:pPr>
        <w:pStyle w:val="115"/>
      </w:pPr>
      <w:bookmarkStart w:id="2" w:name="_Hlk19781143"/>
      <w:r>
        <w:rPr>
          <w:rFonts w:hint="eastAsia"/>
        </w:rPr>
        <w:t>Orlando, USA, 18th - 22th Nov 2024</w:t>
      </w:r>
    </w:p>
    <w:bookmarkEnd w:id="0"/>
    <w:bookmarkEnd w:id="2"/>
    <w:p>
      <w:pPr>
        <w:pStyle w:val="34"/>
        <w:tabs>
          <w:tab w:val="left" w:pos="8620"/>
        </w:tabs>
        <w:rPr>
          <w:rFonts w:cs="Arial"/>
          <w:bCs/>
          <w:sz w:val="24"/>
          <w:lang w:eastAsia="ja-JP"/>
        </w:rPr>
      </w:pPr>
      <w:r>
        <w:rPr>
          <w:rFonts w:hint="eastAsia" w:eastAsia="宋体" w:cs="Arial"/>
          <w:bCs/>
          <w:sz w:val="24"/>
          <w:lang w:eastAsia="zh-CN"/>
        </w:rPr>
        <w:tab/>
      </w:r>
    </w:p>
    <w:p>
      <w:pPr>
        <w:pStyle w:val="85"/>
      </w:pPr>
      <w:r>
        <w:t>Agenda Item:</w:t>
      </w:r>
      <w:r>
        <w:tab/>
      </w:r>
      <w:r>
        <w:t>8.1</w:t>
      </w:r>
    </w:p>
    <w:p>
      <w:pPr>
        <w:pStyle w:val="85"/>
        <w:rPr>
          <w:lang w:eastAsia="ja-JP"/>
        </w:rPr>
      </w:pPr>
      <w:r>
        <w:t>Source:</w:t>
      </w:r>
      <w:r>
        <w:tab/>
      </w:r>
      <w:r>
        <w:t>ZTE Corporation</w:t>
      </w:r>
    </w:p>
    <w:p>
      <w:pPr>
        <w:pStyle w:val="85"/>
        <w:ind w:left="1985" w:hanging="1985"/>
        <w:rPr>
          <w:lang w:eastAsia="ja-JP"/>
        </w:rPr>
      </w:pPr>
      <w:r>
        <w:t>Title:</w:t>
      </w:r>
      <w:r>
        <w:tab/>
      </w:r>
      <w:r>
        <w:t xml:space="preserve">Discussion on </w:t>
      </w:r>
      <w:r>
        <w:rPr>
          <w:rFonts w:hint="eastAsia"/>
        </w:rPr>
        <w:t>renewable energy based LBO</w:t>
      </w:r>
    </w:p>
    <w:p>
      <w:pPr>
        <w:pStyle w:val="85"/>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rPr>
          <w:rFonts w:hint="default" w:eastAsia="宋体"/>
          <w:sz w:val="24"/>
          <w:szCs w:val="24"/>
          <w:lang w:val="en-US" w:eastAsia="zh-CN"/>
        </w:rPr>
      </w:pPr>
      <w:bookmarkStart w:id="3" w:name="_Hlk48630882"/>
      <w:r>
        <w:rPr>
          <w:rFonts w:hint="eastAsia"/>
          <w:sz w:val="24"/>
          <w:szCs w:val="24"/>
        </w:rPr>
        <w:t xml:space="preserve">In this RAN3 meeting, RAN3 received the LS in [1] from SA5, requesting support for the </w:t>
      </w:r>
      <w:r>
        <w:rPr>
          <w:rFonts w:hint="eastAsia" w:eastAsia="宋体"/>
          <w:sz w:val="24"/>
          <w:szCs w:val="24"/>
          <w:lang w:val="en-US" w:eastAsia="zh-CN"/>
        </w:rPr>
        <w:t xml:space="preserve">exposure </w:t>
      </w:r>
      <w:r>
        <w:rPr>
          <w:rFonts w:hint="eastAsia"/>
          <w:sz w:val="24"/>
          <w:szCs w:val="24"/>
        </w:rPr>
        <w:t>of renewable energy information</w:t>
      </w:r>
      <w:r>
        <w:rPr>
          <w:rFonts w:hint="eastAsia" w:eastAsia="宋体"/>
          <w:sz w:val="24"/>
          <w:szCs w:val="24"/>
          <w:lang w:val="en-US" w:eastAsia="zh-CN"/>
        </w:rPr>
        <w:t xml:space="preserve"> within RAN for LBO, such as e.g. carbon emission, carbon emission efficiency and renewable energy usage</w:t>
      </w:r>
      <w:r>
        <w:rPr>
          <w:sz w:val="24"/>
          <w:szCs w:val="24"/>
        </w:rPr>
        <w:t>.</w:t>
      </w:r>
      <w:r>
        <w:rPr>
          <w:rFonts w:hint="eastAsia" w:eastAsia="宋体"/>
          <w:sz w:val="24"/>
          <w:szCs w:val="24"/>
          <w:lang w:val="en-US" w:eastAsia="zh-CN"/>
        </w:rPr>
        <w:t xml:space="preserve"> In this paper, we discuss how to respond.</w:t>
      </w:r>
    </w:p>
    <w:bookmarkEnd w:id="3"/>
    <w:p>
      <w:pPr>
        <w:pStyle w:val="2"/>
      </w:pPr>
      <w:r>
        <w:t>2</w:t>
      </w:r>
      <w:r>
        <w:tab/>
      </w:r>
      <w:r>
        <w:t>Discussion</w:t>
      </w:r>
    </w:p>
    <w:p>
      <w:pPr>
        <w:rPr>
          <w:rFonts w:hint="default" w:ascii="Times New Roman" w:hAnsi="Times New Roman" w:eastAsia="宋体" w:cs="Times New Roman"/>
          <w:sz w:val="24"/>
          <w:szCs w:val="24"/>
          <w:lang w:val="en-US" w:eastAsia="zh-CN"/>
        </w:rPr>
      </w:pPr>
      <w:r>
        <w:rPr>
          <w:rFonts w:hint="eastAsia" w:ascii="Times New Roman" w:hAnsi="Times New Roman" w:eastAsia="Times New Roman" w:cs="Times New Roman"/>
          <w:sz w:val="24"/>
          <w:szCs w:val="24"/>
          <w:lang w:eastAsia="zh-CN"/>
        </w:rPr>
        <w:t xml:space="preserve">In the </w:t>
      </w:r>
      <w:r>
        <w:rPr>
          <w:rFonts w:hint="eastAsia" w:ascii="Times New Roman" w:hAnsi="Times New Roman" w:eastAsia="Times New Roman" w:cs="Times New Roman"/>
          <w:sz w:val="24"/>
          <w:szCs w:val="24"/>
          <w:lang w:val="en-US" w:eastAsia="zh-CN"/>
        </w:rPr>
        <w:t xml:space="preserve">LS[1], SA5 describes the use case of renewable energy based LBO, and the requirement of </w:t>
      </w:r>
      <w:r>
        <w:rPr>
          <w:rFonts w:hint="eastAsia" w:ascii="Times New Roman" w:hAnsi="Times New Roman" w:eastAsia="Times New Roman" w:cs="Times New Roman"/>
          <w:sz w:val="24"/>
          <w:szCs w:val="24"/>
        </w:rPr>
        <w:t xml:space="preserve"> the exposure of renewable energy information</w:t>
      </w:r>
      <w:r>
        <w:rPr>
          <w:rFonts w:hint="eastAsia" w:ascii="Times New Roman" w:hAnsi="Times New Roman" w:eastAsia="宋体" w:cs="Times New Roman"/>
          <w:sz w:val="24"/>
          <w:szCs w:val="24"/>
          <w:lang w:val="en-US" w:eastAsia="zh-CN"/>
        </w:rPr>
        <w:t xml:space="preserve"> within RAN. see below:</w:t>
      </w:r>
    </w:p>
    <w:p>
      <w:pPr>
        <w:jc w:val="center"/>
        <w:rPr>
          <w:rFonts w:hint="default" w:eastAsia="宋体"/>
          <w:lang w:val="en-US" w:eastAsia="zh-CN"/>
        </w:rPr>
      </w:pPr>
      <w:r>
        <w:rPr>
          <w:rFonts w:hint="eastAsia" w:eastAsia="宋体"/>
          <w:lang w:val="en-US" w:eastAsia="zh-CN"/>
        </w:rPr>
        <w:t>--------------------------------------------------------------------------------------------------------------------------</w:t>
      </w:r>
    </w:p>
    <w:p>
      <w:pPr>
        <w:spacing w:after="0"/>
        <w:rPr>
          <w:rFonts w:ascii="Arial" w:hAnsi="Arial" w:cs="Arial"/>
          <w:i/>
          <w:iCs/>
          <w:lang w:val="en-US" w:eastAsia="zh-CN"/>
        </w:rPr>
      </w:pPr>
      <w:r>
        <w:rPr>
          <w:rFonts w:ascii="Arial" w:hAnsi="Arial" w:cs="Arial"/>
          <w:i/>
          <w:iCs/>
          <w:lang w:val="en-US" w:eastAsia="zh-CN"/>
        </w:rPr>
        <w:t>3GPP SA5 (Management, Orchestration and Charging) has initiated its Release 19 study on energy efficiency and energy saving aspects of 5G networks and services. In this context, 3GPP SA5 identified a use case where neighbor gNBs, which are candidates for distributed LBO, are powered using different types of energy sources, some of which being renewable, some others being not, and where the decision for choosing the target gNB to receive the load transferred from source gNB is taken based on such considerations.</w:t>
      </w:r>
    </w:p>
    <w:p>
      <w:pPr>
        <w:spacing w:after="0"/>
        <w:rPr>
          <w:rFonts w:ascii="Arial" w:hAnsi="Arial" w:cs="Arial"/>
          <w:i/>
          <w:iCs/>
          <w:lang w:val="en-US" w:eastAsia="zh-CN"/>
        </w:rPr>
      </w:pPr>
    </w:p>
    <w:p>
      <w:pPr>
        <w:spacing w:after="0"/>
        <w:rPr>
          <w:rFonts w:ascii="Arial" w:hAnsi="Arial" w:cs="Arial"/>
          <w:i/>
          <w:iCs/>
          <w:lang w:val="en-US" w:eastAsia="zh-CN"/>
        </w:rPr>
      </w:pPr>
      <w:r>
        <w:rPr>
          <w:rFonts w:ascii="Arial" w:hAnsi="Arial" w:cs="Arial"/>
          <w:i/>
          <w:iCs/>
          <w:lang w:val="en-US" w:eastAsia="zh-CN"/>
        </w:rPr>
        <w:t xml:space="preserve">As an illustration, in the figure below, gNB A and gNB C are both candidates to receive traffic load transferred from gNB B, the only difference between gNB A and gNB C being that gNB A is fully powered by renewable energy. With the guidance of renewable energy usage policy, gNB B gives gNB A higher priority and chooses gNB A. </w:t>
      </w:r>
    </w:p>
    <w:p>
      <w:pPr>
        <w:spacing w:after="0"/>
        <w:jc w:val="center"/>
        <w:rPr>
          <w:rFonts w:ascii="Arial" w:hAnsi="Arial" w:cs="Arial"/>
          <w:i/>
          <w:iCs/>
          <w:lang w:val="en-US" w:eastAsia="zh-CN"/>
        </w:rPr>
      </w:pPr>
      <w:r>
        <w:rPr>
          <w:i/>
          <w:iCs/>
        </w:rPr>
        <w:object>
          <v:shape id="_x0000_i1025" o:spt="75" type="#_x0000_t75" style="height:189.7pt;width:260.45pt;" o:ole="t" filled="f" o:preferrelative="t" stroked="f" coordsize="21600,21600">
            <v:path/>
            <v:fill on="f" focussize="0,0"/>
            <v:stroke on="f" joinstyle="miter"/>
            <v:imagedata r:id="rId6" cropleft="4826f" croptop="6438f" cropright="5461f" cropbottom="6933f" o:title=""/>
            <o:lock v:ext="edit" aspectratio="t"/>
            <w10:wrap type="none"/>
            <w10:anchorlock/>
          </v:shape>
          <o:OLEObject Type="Embed" ProgID="Visio.Drawing.11" ShapeID="_x0000_i1025" DrawAspect="Content" ObjectID="_1468075725">
            <o:LockedField>false</o:LockedField>
          </o:OLEObject>
        </w:object>
      </w:r>
    </w:p>
    <w:p>
      <w:pPr>
        <w:spacing w:after="0"/>
        <w:rPr>
          <w:rFonts w:ascii="Arial" w:hAnsi="Arial" w:cs="Arial"/>
          <w:i/>
          <w:iCs/>
          <w:lang w:val="en-US" w:eastAsia="zh-CN"/>
        </w:rPr>
      </w:pPr>
    </w:p>
    <w:p>
      <w:pPr>
        <w:spacing w:after="0"/>
        <w:rPr>
          <w:rFonts w:ascii="Arial" w:hAnsi="Arial" w:cs="Arial"/>
          <w:i/>
          <w:iCs/>
          <w:lang w:val="en-US" w:eastAsia="zh-CN"/>
        </w:rPr>
      </w:pPr>
      <w:r>
        <w:rPr>
          <w:rFonts w:ascii="Arial" w:hAnsi="Arial" w:cs="Arial"/>
          <w:i/>
          <w:iCs/>
          <w:lang w:val="en-US" w:eastAsia="zh-CN"/>
        </w:rPr>
        <w:t>To support this capability, the procedure of Distributed SON LBO would need enhancements to consider new energy related information, such as e.g. carbon emission, carbon emission efficiency and renewable energy usage.</w:t>
      </w:r>
    </w:p>
    <w:p>
      <w:pPr>
        <w:jc w:val="center"/>
        <w:rPr>
          <w:rFonts w:hint="default" w:eastAsia="宋体"/>
          <w:lang w:val="en-US" w:eastAsia="zh-CN"/>
        </w:rPr>
      </w:pPr>
      <w:r>
        <w:rPr>
          <w:rFonts w:hint="eastAsia" w:eastAsia="宋体"/>
          <w:lang w:val="en-US" w:eastAsia="zh-CN"/>
        </w:rPr>
        <w:t>--------------------------------------------------------------------------------------------------------------------------</w:t>
      </w:r>
    </w:p>
    <w:p>
      <w:pPr>
        <w:rPr>
          <w:rFonts w:eastAsiaTheme="minorEastAsia"/>
          <w:lang w:eastAsia="zh-CN"/>
        </w:rPr>
      </w:pPr>
    </w:p>
    <w:p>
      <w:pPr>
        <w:rPr>
          <w:rFonts w:hint="eastAsia" w:ascii="Times New Roman" w:hAnsi="Times New Roman" w:eastAsia="Times New Roman" w:cs="Times New Roman"/>
          <w:sz w:val="24"/>
          <w:szCs w:val="24"/>
          <w:lang w:eastAsia="zh-CN"/>
        </w:rPr>
      </w:pPr>
      <w:r>
        <w:rPr>
          <w:rFonts w:hint="eastAsia" w:ascii="Times New Roman" w:hAnsi="Times New Roman" w:eastAsia="Times New Roman" w:cs="Times New Roman"/>
          <w:sz w:val="24"/>
          <w:szCs w:val="24"/>
          <w:lang w:eastAsia="zh-CN"/>
        </w:rPr>
        <w:t xml:space="preserve">After review </w:t>
      </w:r>
      <w:r>
        <w:rPr>
          <w:rFonts w:hint="eastAsia" w:ascii="Times New Roman" w:hAnsi="Times New Roman" w:eastAsia="Times New Roman" w:cs="Times New Roman"/>
          <w:sz w:val="24"/>
          <w:szCs w:val="24"/>
          <w:lang w:val="en-US" w:eastAsia="zh-CN"/>
        </w:rPr>
        <w:t>the LS</w:t>
      </w:r>
      <w:r>
        <w:rPr>
          <w:rFonts w:hint="eastAsia" w:ascii="Times New Roman" w:hAnsi="Times New Roman" w:eastAsia="Times New Roman" w:cs="Times New Roman"/>
          <w:sz w:val="24"/>
          <w:szCs w:val="24"/>
          <w:lang w:eastAsia="zh-CN"/>
        </w:rPr>
        <w:t xml:space="preserve">, </w:t>
      </w:r>
      <w:r>
        <w:rPr>
          <w:rFonts w:hint="eastAsia" w:ascii="Times New Roman" w:hAnsi="Times New Roman" w:eastAsia="Times New Roman" w:cs="Times New Roman"/>
          <w:sz w:val="24"/>
          <w:szCs w:val="24"/>
          <w:lang w:val="en-US" w:eastAsia="zh-CN"/>
        </w:rPr>
        <w:t>we</w:t>
      </w:r>
      <w:r>
        <w:rPr>
          <w:rFonts w:hint="eastAsia" w:ascii="Times New Roman" w:hAnsi="Times New Roman" w:eastAsia="Times New Roman" w:cs="Times New Roman"/>
          <w:sz w:val="24"/>
          <w:szCs w:val="24"/>
          <w:lang w:eastAsia="zh-CN"/>
        </w:rPr>
        <w:t xml:space="preserve"> agree that renewable energy-based load balancing and status exchange would be valuable </w:t>
      </w:r>
      <w:r>
        <w:rPr>
          <w:rFonts w:hint="eastAsia" w:ascii="Times New Roman" w:hAnsi="Times New Roman" w:eastAsia="Times New Roman" w:cs="Times New Roman"/>
          <w:sz w:val="24"/>
          <w:szCs w:val="24"/>
          <w:lang w:val="en-US" w:eastAsia="zh-CN"/>
        </w:rPr>
        <w:t xml:space="preserve">enhancements </w:t>
      </w:r>
      <w:r>
        <w:rPr>
          <w:rFonts w:hint="eastAsia" w:ascii="Times New Roman" w:hAnsi="Times New Roman" w:eastAsia="Times New Roman" w:cs="Times New Roman"/>
          <w:sz w:val="24"/>
          <w:szCs w:val="24"/>
          <w:lang w:eastAsia="zh-CN"/>
        </w:rPr>
        <w:t xml:space="preserve">to </w:t>
      </w:r>
      <w:r>
        <w:rPr>
          <w:rFonts w:hint="eastAsia" w:ascii="Times New Roman" w:hAnsi="Times New Roman" w:eastAsia="Times New Roman" w:cs="Times New Roman"/>
          <w:sz w:val="24"/>
          <w:szCs w:val="24"/>
          <w:lang w:val="en-US" w:eastAsia="zh-CN"/>
        </w:rPr>
        <w:t xml:space="preserve">SON MRO and network </w:t>
      </w:r>
      <w:r>
        <w:rPr>
          <w:rFonts w:hint="eastAsia" w:ascii="Times New Roman" w:hAnsi="Times New Roman" w:eastAsia="Times New Roman" w:cs="Times New Roman"/>
          <w:sz w:val="24"/>
          <w:szCs w:val="24"/>
          <w:lang w:eastAsia="zh-CN"/>
        </w:rPr>
        <w:t xml:space="preserve">energy-saving capabilities. However, we observe that the current scope of </w:t>
      </w:r>
      <w:r>
        <w:rPr>
          <w:rFonts w:hint="eastAsia" w:ascii="Times New Roman" w:hAnsi="Times New Roman" w:eastAsia="Times New Roman" w:cs="Times New Roman"/>
          <w:sz w:val="24"/>
          <w:szCs w:val="24"/>
          <w:lang w:val="en-US" w:eastAsia="zh-CN"/>
        </w:rPr>
        <w:t>N</w:t>
      </w:r>
      <w:r>
        <w:rPr>
          <w:rFonts w:hint="eastAsia" w:ascii="Times New Roman" w:hAnsi="Times New Roman" w:eastAsia="Times New Roman" w:cs="Times New Roman"/>
          <w:sz w:val="24"/>
          <w:szCs w:val="24"/>
          <w:lang w:eastAsia="zh-CN"/>
        </w:rPr>
        <w:t>ES Work Items from Rel</w:t>
      </w:r>
      <w:r>
        <w:rPr>
          <w:rFonts w:hint="eastAsia" w:ascii="Times New Roman" w:hAnsi="Times New Roman" w:eastAsia="Times New Roman" w:cs="Times New Roman"/>
          <w:sz w:val="24"/>
          <w:szCs w:val="24"/>
          <w:lang w:val="en-US" w:eastAsia="zh-CN"/>
        </w:rPr>
        <w:t>-</w:t>
      </w:r>
      <w:r>
        <w:rPr>
          <w:rFonts w:hint="eastAsia" w:ascii="Times New Roman" w:hAnsi="Times New Roman" w:eastAsia="Times New Roman" w:cs="Times New Roman"/>
          <w:sz w:val="24"/>
          <w:szCs w:val="24"/>
          <w:lang w:eastAsia="zh-CN"/>
        </w:rPr>
        <w:t xml:space="preserve">15 </w:t>
      </w:r>
      <w:r>
        <w:rPr>
          <w:rFonts w:hint="eastAsia" w:ascii="Times New Roman" w:hAnsi="Times New Roman" w:eastAsia="Times New Roman" w:cs="Times New Roman"/>
          <w:sz w:val="24"/>
          <w:szCs w:val="24"/>
          <w:lang w:val="en-US" w:eastAsia="zh-CN"/>
        </w:rPr>
        <w:t xml:space="preserve">to </w:t>
      </w:r>
      <w:r>
        <w:rPr>
          <w:rFonts w:hint="eastAsia" w:ascii="Times New Roman" w:hAnsi="Times New Roman" w:eastAsia="Times New Roman" w:cs="Times New Roman"/>
          <w:sz w:val="24"/>
          <w:szCs w:val="24"/>
          <w:lang w:eastAsia="zh-CN"/>
        </w:rPr>
        <w:t>Rel</w:t>
      </w:r>
      <w:r>
        <w:rPr>
          <w:rFonts w:hint="eastAsia" w:ascii="Times New Roman" w:hAnsi="Times New Roman" w:eastAsia="Times New Roman" w:cs="Times New Roman"/>
          <w:sz w:val="24"/>
          <w:szCs w:val="24"/>
          <w:lang w:val="en-US" w:eastAsia="zh-CN"/>
        </w:rPr>
        <w:t>-</w:t>
      </w:r>
      <w:r>
        <w:rPr>
          <w:rFonts w:hint="eastAsia" w:ascii="Times New Roman" w:hAnsi="Times New Roman" w:eastAsia="Times New Roman" w:cs="Times New Roman"/>
          <w:sz w:val="24"/>
          <w:szCs w:val="24"/>
          <w:lang w:eastAsia="zh-CN"/>
        </w:rPr>
        <w:t xml:space="preserve">19 does not </w:t>
      </w:r>
      <w:r>
        <w:rPr>
          <w:rFonts w:hint="eastAsia" w:ascii="Times New Roman" w:hAnsi="Times New Roman" w:eastAsia="Times New Roman" w:cs="Times New Roman"/>
          <w:sz w:val="24"/>
          <w:szCs w:val="24"/>
          <w:lang w:val="en-US" w:eastAsia="zh-CN"/>
        </w:rPr>
        <w:t xml:space="preserve">address any </w:t>
      </w:r>
      <w:r>
        <w:rPr>
          <w:rFonts w:hint="eastAsia" w:ascii="Times New Roman" w:hAnsi="Times New Roman" w:eastAsia="Times New Roman" w:cs="Times New Roman"/>
          <w:sz w:val="24"/>
          <w:szCs w:val="24"/>
          <w:lang w:eastAsia="zh-CN"/>
        </w:rPr>
        <w:t>renewable energy tracking, exchange, or usage prioritization</w:t>
      </w:r>
      <w:r>
        <w:rPr>
          <w:rFonts w:hint="eastAsia" w:ascii="Times New Roman" w:hAnsi="Times New Roman" w:eastAsia="Times New Roman" w:cs="Times New Roman"/>
          <w:sz w:val="24"/>
          <w:szCs w:val="24"/>
          <w:lang w:val="en-US" w:eastAsia="zh-CN"/>
        </w:rPr>
        <w:t xml:space="preserve"> </w:t>
      </w:r>
      <w:r>
        <w:rPr>
          <w:rFonts w:hint="eastAsia" w:ascii="Times New Roman" w:hAnsi="Times New Roman" w:eastAsia="Times New Roman" w:cs="Times New Roman"/>
          <w:sz w:val="24"/>
          <w:szCs w:val="24"/>
          <w:lang w:eastAsia="zh-CN"/>
        </w:rPr>
        <w:t>across RAN nodes.</w:t>
      </w:r>
    </w:p>
    <w:p>
      <w:pPr>
        <w:rPr>
          <w:rFonts w:hint="eastAsia" w:ascii="Times New Roman" w:hAnsi="Times New Roman" w:eastAsia="Times New Roman" w:cs="Times New Roman"/>
          <w:sz w:val="24"/>
          <w:szCs w:val="24"/>
          <w:lang w:eastAsia="zh-CN"/>
        </w:rPr>
      </w:pPr>
      <w:r>
        <w:rPr>
          <w:rFonts w:hint="eastAsia" w:ascii="Times New Roman" w:hAnsi="Times New Roman" w:eastAsia="Times New Roman" w:cs="Times New Roman"/>
          <w:sz w:val="24"/>
          <w:szCs w:val="24"/>
          <w:lang w:val="en-US" w:eastAsia="zh-CN"/>
        </w:rPr>
        <w:t>Furthermore, we note that SA1 has already developed several energy related use cases addressing renewable energy and carbon-awareness in TR 22.882 (Study on Energy Efficiency as a Service Criterion) for Rel-19 study. Specifically</w:t>
      </w:r>
      <w:r>
        <w:rPr>
          <w:rFonts w:hint="eastAsia" w:ascii="Times New Roman" w:hAnsi="Times New Roman" w:eastAsia="Times New Roman" w:cs="Times New Roman"/>
          <w:sz w:val="24"/>
          <w:szCs w:val="24"/>
          <w:lang w:eastAsia="zh-CN"/>
        </w:rPr>
        <w:t>:</w:t>
      </w:r>
    </w:p>
    <w:p>
      <w:pPr>
        <w:numPr>
          <w:ilvl w:val="0"/>
          <w:numId w:val="1"/>
        </w:numPr>
        <w:ind w:left="420" w:leftChars="0" w:hanging="420" w:firstLineChars="0"/>
        <w:rPr>
          <w:rFonts w:hint="eastAsia" w:ascii="Times New Roman" w:hAnsi="Times New Roman" w:eastAsia="Times New Roman" w:cs="Times New Roman"/>
          <w:sz w:val="24"/>
          <w:szCs w:val="24"/>
          <w:lang w:eastAsia="zh-CN"/>
        </w:rPr>
      </w:pPr>
      <w:r>
        <w:rPr>
          <w:rFonts w:hint="eastAsia" w:ascii="Times New Roman" w:hAnsi="Times New Roman" w:eastAsia="Times New Roman" w:cs="Times New Roman"/>
          <w:sz w:val="24"/>
          <w:szCs w:val="24"/>
          <w:lang w:eastAsia="zh-CN"/>
        </w:rPr>
        <w:t xml:space="preserve">Renewable Energy Consumption Information Exposure </w:t>
      </w:r>
      <w:r>
        <w:rPr>
          <w:rFonts w:hint="eastAsia" w:ascii="Times New Roman" w:hAnsi="Times New Roman" w:eastAsia="Times New Roman" w:cs="Times New Roman"/>
          <w:sz w:val="24"/>
          <w:szCs w:val="24"/>
          <w:lang w:val="en-US" w:eastAsia="zh-CN"/>
        </w:rPr>
        <w:t>:</w:t>
      </w:r>
      <w:r>
        <w:rPr>
          <w:rFonts w:hint="eastAsia" w:ascii="Times New Roman" w:hAnsi="Times New Roman" w:eastAsia="Times New Roman" w:cs="Times New Roman"/>
          <w:sz w:val="24"/>
          <w:szCs w:val="24"/>
          <w:lang w:eastAsia="zh-CN"/>
        </w:rPr>
        <w:t>enabling network-to-subscriber renewable energy information sharing.</w:t>
      </w:r>
    </w:p>
    <w:p>
      <w:pPr>
        <w:numPr>
          <w:ilvl w:val="0"/>
          <w:numId w:val="1"/>
        </w:numPr>
        <w:ind w:left="420" w:leftChars="0" w:hanging="420" w:firstLineChars="0"/>
        <w:rPr>
          <w:rFonts w:hint="eastAsia" w:ascii="Times New Roman" w:hAnsi="Times New Roman" w:eastAsia="Times New Roman" w:cs="Times New Roman"/>
          <w:sz w:val="24"/>
          <w:szCs w:val="24"/>
          <w:lang w:eastAsia="zh-CN"/>
        </w:rPr>
      </w:pPr>
      <w:r>
        <w:rPr>
          <w:rFonts w:hint="eastAsia" w:ascii="Times New Roman" w:hAnsi="Times New Roman" w:eastAsia="Times New Roman" w:cs="Times New Roman"/>
          <w:sz w:val="24"/>
          <w:szCs w:val="24"/>
          <w:lang w:eastAsia="zh-CN"/>
        </w:rPr>
        <w:t>Carbon-Aware Communication Services</w:t>
      </w:r>
      <w:r>
        <w:rPr>
          <w:rFonts w:hint="eastAsia" w:ascii="Times New Roman" w:hAnsi="Times New Roman" w:eastAsia="Times New Roman" w:cs="Times New Roman"/>
          <w:sz w:val="24"/>
          <w:szCs w:val="24"/>
          <w:lang w:val="en-US" w:eastAsia="zh-CN"/>
        </w:rPr>
        <w:t xml:space="preserve">: </w:t>
      </w:r>
      <w:r>
        <w:rPr>
          <w:rFonts w:hint="eastAsia" w:ascii="Times New Roman" w:hAnsi="Times New Roman" w:eastAsia="Times New Roman" w:cs="Times New Roman"/>
          <w:sz w:val="24"/>
          <w:szCs w:val="24"/>
          <w:lang w:eastAsia="zh-CN"/>
        </w:rPr>
        <w:t>providing carbon emissions insights based on energy consumption and carbon intensity.</w:t>
      </w:r>
    </w:p>
    <w:p>
      <w:pPr>
        <w:numPr>
          <w:ilvl w:val="0"/>
          <w:numId w:val="0"/>
        </w:numPr>
        <w:ind w:leftChars="0"/>
        <w:rPr>
          <w:rFonts w:hint="eastAsia" w:ascii="Times New Roman" w:hAnsi="Times New Roman" w:eastAsia="Times New Roman" w:cs="Times New Roman"/>
          <w:sz w:val="24"/>
          <w:szCs w:val="24"/>
          <w:lang w:eastAsia="zh-CN"/>
        </w:rPr>
      </w:pPr>
      <w:r>
        <w:rPr>
          <w:rFonts w:hint="eastAsia" w:ascii="Times New Roman" w:hAnsi="Times New Roman" w:eastAsia="Times New Roman" w:cs="Times New Roman"/>
          <w:sz w:val="24"/>
          <w:szCs w:val="24"/>
          <w:lang w:eastAsia="zh-CN"/>
        </w:rPr>
        <w:t>These use cases focus on renewable energy information exposure primarily at the network-to-subscriber level, rather than inter</w:t>
      </w:r>
      <w:r>
        <w:rPr>
          <w:rFonts w:hint="eastAsia" w:ascii="Times New Roman" w:hAnsi="Times New Roman" w:eastAsia="Times New Roman" w:cs="Times New Roman"/>
          <w:sz w:val="24"/>
          <w:szCs w:val="24"/>
          <w:lang w:val="en-US" w:eastAsia="zh-CN"/>
        </w:rPr>
        <w:t xml:space="preserve"> </w:t>
      </w:r>
      <w:r>
        <w:rPr>
          <w:rFonts w:hint="eastAsia" w:ascii="Times New Roman" w:hAnsi="Times New Roman" w:eastAsia="Times New Roman" w:cs="Times New Roman"/>
          <w:sz w:val="24"/>
          <w:szCs w:val="24"/>
          <w:lang w:eastAsia="zh-CN"/>
        </w:rPr>
        <w:t>RAN node exchanges. Therefore, we suggest that further development on renewable energy</w:t>
      </w:r>
      <w:r>
        <w:rPr>
          <w:rFonts w:hint="eastAsia" w:ascii="Times New Roman" w:hAnsi="Times New Roman" w:eastAsia="Times New Roman" w:cs="Times New Roman"/>
          <w:sz w:val="24"/>
          <w:szCs w:val="24"/>
          <w:lang w:val="en-US" w:eastAsia="zh-CN"/>
        </w:rPr>
        <w:t xml:space="preserve"> </w:t>
      </w:r>
      <w:r>
        <w:rPr>
          <w:rFonts w:hint="eastAsia" w:ascii="Times New Roman" w:hAnsi="Times New Roman" w:eastAsia="Times New Roman" w:cs="Times New Roman"/>
          <w:sz w:val="24"/>
          <w:szCs w:val="24"/>
          <w:lang w:eastAsia="zh-CN"/>
        </w:rPr>
        <w:t>related functionalities in SON</w:t>
      </w:r>
      <w:r>
        <w:rPr>
          <w:rFonts w:hint="eastAsia" w:ascii="Times New Roman" w:hAnsi="Times New Roman" w:eastAsia="Times New Roman" w:cs="Times New Roman"/>
          <w:sz w:val="24"/>
          <w:szCs w:val="24"/>
          <w:lang w:val="en-US" w:eastAsia="zh-CN"/>
        </w:rPr>
        <w:t xml:space="preserve"> </w:t>
      </w:r>
      <w:r>
        <w:rPr>
          <w:rFonts w:hint="eastAsia" w:ascii="Times New Roman" w:hAnsi="Times New Roman" w:eastAsia="Times New Roman" w:cs="Times New Roman"/>
          <w:sz w:val="24"/>
          <w:szCs w:val="24"/>
          <w:lang w:eastAsia="zh-CN"/>
        </w:rPr>
        <w:t>should also take SA1</w:t>
      </w:r>
      <w:r>
        <w:rPr>
          <w:rFonts w:hint="eastAsia" w:ascii="Times New Roman" w:hAnsi="Times New Roman" w:eastAsia="Times New Roman" w:cs="Times New Roman"/>
          <w:sz w:val="24"/>
          <w:szCs w:val="24"/>
          <w:lang w:val="en-US" w:eastAsia="zh-CN"/>
        </w:rPr>
        <w:t>'s</w:t>
      </w:r>
      <w:r>
        <w:rPr>
          <w:rFonts w:hint="eastAsia" w:ascii="Times New Roman" w:hAnsi="Times New Roman" w:eastAsia="Times New Roman" w:cs="Times New Roman"/>
          <w:sz w:val="24"/>
          <w:szCs w:val="24"/>
          <w:lang w:eastAsia="zh-CN"/>
        </w:rPr>
        <w:t xml:space="preserve"> energy efficiency framework and requirements into account to ensure consistency and avoid duplication.</w:t>
      </w:r>
    </w:p>
    <w:p>
      <w:pPr>
        <w:rPr>
          <w:rFonts w:hint="default" w:ascii="Times New Roman" w:hAnsi="Times New Roman" w:eastAsia="Times New Roman" w:cs="Times New Roman"/>
          <w:sz w:val="24"/>
          <w:szCs w:val="24"/>
          <w:lang w:val="en-US" w:eastAsia="zh-CN"/>
        </w:rPr>
      </w:pPr>
      <w:r>
        <w:rPr>
          <w:rFonts w:hint="default" w:ascii="Times New Roman" w:hAnsi="Times New Roman" w:eastAsia="Times New Roman" w:cs="Times New Roman"/>
          <w:sz w:val="24"/>
          <w:szCs w:val="24"/>
          <w:lang w:val="en-US" w:eastAsia="zh-CN"/>
        </w:rPr>
        <w:t>In conclusion, given that renewable energy-based load balancing introduces new features related to renewable energy that go beyond the current NES Work Items, we propose that this enhancement be considered as part of a new feature set in Release 20, such as in a Rel-20 NES Work Item. This timeline will provide sufficient time to incorporate renewable energy-based load balancing and renewable energy source prioritization into SON and NES mechanisms, as well as any other required functionalities from TR 22.882, if needed.</w:t>
      </w:r>
    </w:p>
    <w:p>
      <w:pPr>
        <w:rPr>
          <w:rFonts w:hint="default" w:ascii="Times New Roman" w:hAnsi="Times New Roman" w:eastAsia="Times New Roman" w:cs="Times New Roman"/>
          <w:b/>
          <w:bCs/>
          <w:sz w:val="24"/>
          <w:szCs w:val="24"/>
          <w:lang w:val="en-US" w:eastAsia="zh-CN"/>
        </w:rPr>
      </w:pPr>
      <w:r>
        <w:rPr>
          <w:rFonts w:hint="default" w:ascii="Times New Roman" w:hAnsi="Times New Roman" w:eastAsia="Times New Roman" w:cs="Times New Roman"/>
          <w:b/>
          <w:bCs/>
          <w:sz w:val="24"/>
          <w:szCs w:val="24"/>
          <w:lang w:val="en-US" w:eastAsia="zh-CN"/>
        </w:rPr>
        <w:t>Proposal 1</w:t>
      </w:r>
      <w:r>
        <w:rPr>
          <w:rFonts w:hint="eastAsia" w:ascii="Times New Roman" w:hAnsi="Times New Roman" w:eastAsia="Times New Roman" w:cs="Times New Roman"/>
          <w:b/>
          <w:bCs/>
          <w:sz w:val="24"/>
          <w:szCs w:val="24"/>
          <w:lang w:val="en-US" w:eastAsia="zh-CN"/>
        </w:rPr>
        <w:t xml:space="preserve">: </w:t>
      </w:r>
      <w:r>
        <w:rPr>
          <w:rFonts w:hint="default" w:ascii="Times New Roman" w:hAnsi="Times New Roman" w:eastAsia="Times New Roman" w:cs="Times New Roman"/>
          <w:b/>
          <w:bCs/>
          <w:sz w:val="24"/>
          <w:szCs w:val="24"/>
          <w:lang w:val="en-US" w:eastAsia="zh-CN"/>
        </w:rPr>
        <w:t xml:space="preserve">Renewable </w:t>
      </w:r>
      <w:r>
        <w:rPr>
          <w:rFonts w:hint="eastAsia" w:ascii="Times New Roman" w:hAnsi="Times New Roman" w:eastAsia="Times New Roman" w:cs="Times New Roman"/>
          <w:b/>
          <w:bCs/>
          <w:sz w:val="24"/>
          <w:szCs w:val="24"/>
          <w:lang w:val="en-US" w:eastAsia="zh-CN"/>
        </w:rPr>
        <w:t>e</w:t>
      </w:r>
      <w:r>
        <w:rPr>
          <w:rFonts w:hint="default" w:ascii="Times New Roman" w:hAnsi="Times New Roman" w:eastAsia="Times New Roman" w:cs="Times New Roman"/>
          <w:b/>
          <w:bCs/>
          <w:sz w:val="24"/>
          <w:szCs w:val="24"/>
          <w:lang w:val="en-US" w:eastAsia="zh-CN"/>
        </w:rPr>
        <w:t>nergy related feature could be considered as part of a new feature set in Release 20, such as in a Rel-20 NES Work Item. This timeline will provide sufficient time to incorporate renewable energy-based load balancing and renewable energy source prioritization into SON and NES mechanisms, as well as any additional required functionalities from other WGs, such as SA1/SA2 (e.g., in TR 22.882), if needed.</w:t>
      </w:r>
    </w:p>
    <w:p>
      <w:pPr>
        <w:rPr>
          <w:rFonts w:hint="default" w:ascii="Times New Roman" w:hAnsi="Times New Roman" w:eastAsia="Times New Roman" w:cs="Times New Roman"/>
          <w:sz w:val="24"/>
          <w:szCs w:val="24"/>
          <w:lang w:val="en-US" w:eastAsia="zh-CN"/>
        </w:rPr>
      </w:pPr>
      <w:r>
        <w:rPr>
          <w:rFonts w:hint="eastAsia" w:ascii="Times New Roman" w:hAnsi="Times New Roman" w:eastAsia="Times New Roman" w:cs="Times New Roman"/>
          <w:sz w:val="24"/>
          <w:szCs w:val="24"/>
          <w:lang w:val="en-US" w:eastAsia="zh-CN"/>
        </w:rPr>
        <w:t>Based on the above proposal, t</w:t>
      </w:r>
      <w:r>
        <w:rPr>
          <w:rFonts w:hint="default" w:ascii="Times New Roman" w:hAnsi="Times New Roman" w:eastAsia="Times New Roman" w:cs="Times New Roman"/>
          <w:sz w:val="24"/>
          <w:szCs w:val="24"/>
          <w:lang w:val="en-US" w:eastAsia="zh-CN"/>
        </w:rPr>
        <w:t xml:space="preserve">he </w:t>
      </w:r>
      <w:r>
        <w:rPr>
          <w:rFonts w:hint="eastAsia" w:ascii="Times New Roman" w:hAnsi="Times New Roman" w:eastAsia="Times New Roman" w:cs="Times New Roman"/>
          <w:sz w:val="24"/>
          <w:szCs w:val="24"/>
          <w:lang w:val="en-US" w:eastAsia="zh-CN"/>
        </w:rPr>
        <w:t xml:space="preserve">draft </w:t>
      </w:r>
      <w:r>
        <w:rPr>
          <w:rFonts w:hint="default" w:ascii="Times New Roman" w:hAnsi="Times New Roman" w:eastAsia="Times New Roman" w:cs="Times New Roman"/>
          <w:sz w:val="24"/>
          <w:szCs w:val="24"/>
          <w:lang w:val="en-US" w:eastAsia="zh-CN"/>
        </w:rPr>
        <w:t xml:space="preserve">reply LS </w:t>
      </w:r>
      <w:r>
        <w:rPr>
          <w:rFonts w:hint="eastAsia" w:ascii="Times New Roman" w:hAnsi="Times New Roman" w:eastAsia="Times New Roman" w:cs="Times New Roman"/>
          <w:sz w:val="24"/>
          <w:szCs w:val="24"/>
          <w:lang w:val="en-US" w:eastAsia="zh-CN"/>
        </w:rPr>
        <w:t xml:space="preserve">is </w:t>
      </w:r>
      <w:r>
        <w:rPr>
          <w:rFonts w:hint="default" w:ascii="Times New Roman" w:hAnsi="Times New Roman" w:eastAsia="Times New Roman" w:cs="Times New Roman"/>
          <w:sz w:val="24"/>
          <w:szCs w:val="24"/>
          <w:lang w:val="en-US" w:eastAsia="zh-CN"/>
        </w:rPr>
        <w:t>prepared in [</w:t>
      </w:r>
      <w:r>
        <w:rPr>
          <w:rFonts w:hint="eastAsia" w:ascii="Times New Roman" w:hAnsi="Times New Roman" w:eastAsia="Times New Roman" w:cs="Times New Roman"/>
          <w:sz w:val="24"/>
          <w:szCs w:val="24"/>
          <w:lang w:val="en-US" w:eastAsia="zh-CN"/>
        </w:rPr>
        <w:t>2</w:t>
      </w:r>
      <w:r>
        <w:rPr>
          <w:rFonts w:hint="default" w:ascii="Times New Roman" w:hAnsi="Times New Roman" w:eastAsia="Times New Roman" w:cs="Times New Roman"/>
          <w:sz w:val="24"/>
          <w:szCs w:val="24"/>
          <w:lang w:val="en-US" w:eastAsia="zh-CN"/>
        </w:rPr>
        <w:t>].</w:t>
      </w:r>
    </w:p>
    <w:p>
      <w:pPr>
        <w:pStyle w:val="2"/>
      </w:pPr>
      <w:r>
        <w:t>Reference</w:t>
      </w:r>
    </w:p>
    <w:p>
      <w:pPr>
        <w:numPr>
          <w:ilvl w:val="0"/>
          <w:numId w:val="2"/>
        </w:numPr>
        <w:rPr>
          <w:rFonts w:hint="eastAsia" w:eastAsia="宋体"/>
          <w:lang w:val="en-US" w:eastAsia="zh-CN"/>
        </w:rPr>
      </w:pPr>
      <w:r>
        <w:rPr>
          <w:rFonts w:hint="eastAsia"/>
        </w:rPr>
        <w:t>R3-247114</w:t>
      </w:r>
      <w:r>
        <w:t xml:space="preserve">, </w:t>
      </w:r>
      <w:r>
        <w:rPr>
          <w:rFonts w:hint="eastAsia"/>
        </w:rPr>
        <w:t>LS to RAN3 on renewable energy based LBO</w:t>
      </w:r>
      <w:r>
        <w:t xml:space="preserve">, </w:t>
      </w:r>
      <w:r>
        <w:rPr>
          <w:rFonts w:hint="eastAsia" w:eastAsia="宋体"/>
          <w:lang w:val="en-US" w:eastAsia="zh-CN"/>
        </w:rPr>
        <w:t>SA5</w:t>
      </w:r>
    </w:p>
    <w:p>
      <w:pPr>
        <w:numPr>
          <w:ilvl w:val="0"/>
          <w:numId w:val="2"/>
        </w:numPr>
        <w:rPr>
          <w:rFonts w:hint="default" w:eastAsia="宋体"/>
          <w:lang w:val="en-US" w:eastAsia="zh-CN"/>
        </w:rPr>
      </w:pPr>
      <w:r>
        <w:rPr>
          <w:rFonts w:hint="eastAsia" w:eastAsia="宋体"/>
          <w:lang w:val="en-US" w:eastAsia="zh-CN"/>
        </w:rPr>
        <w:t>R3-247701</w:t>
      </w:r>
      <w:bookmarkStart w:id="4" w:name="_GoBack"/>
      <w:bookmarkEnd w:id="4"/>
      <w:r>
        <w:rPr>
          <w:rFonts w:hint="eastAsia" w:eastAsia="宋体"/>
          <w:lang w:val="en-US" w:eastAsia="zh-CN"/>
        </w:rPr>
        <w:t xml:space="preserve">, [draft]Reply LS on renewable energy based LBO, ZTE Corporation </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AEC8FD"/>
    <w:multiLevelType w:val="singleLevel"/>
    <w:tmpl w:val="8BAEC8FD"/>
    <w:lvl w:ilvl="0" w:tentative="0">
      <w:start w:val="1"/>
      <w:numFmt w:val="bullet"/>
      <w:lvlText w:val=""/>
      <w:lvlJc w:val="left"/>
      <w:pPr>
        <w:ind w:left="420" w:hanging="420"/>
      </w:pPr>
      <w:rPr>
        <w:rFonts w:hint="default" w:ascii="Wingdings" w:hAnsi="Wingdings"/>
      </w:rPr>
    </w:lvl>
  </w:abstractNum>
  <w:abstractNum w:abstractNumId="1">
    <w:nsid w:val="39F8A7C6"/>
    <w:multiLevelType w:val="singleLevel"/>
    <w:tmpl w:val="39F8A7C6"/>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6FB"/>
    <w:rsid w:val="00000DF0"/>
    <w:rsid w:val="00001E8F"/>
    <w:rsid w:val="00014226"/>
    <w:rsid w:val="00020890"/>
    <w:rsid w:val="00020D4D"/>
    <w:rsid w:val="00022E4A"/>
    <w:rsid w:val="00024C18"/>
    <w:rsid w:val="000472E8"/>
    <w:rsid w:val="00051FFB"/>
    <w:rsid w:val="00061D0F"/>
    <w:rsid w:val="00064D83"/>
    <w:rsid w:val="00067DCD"/>
    <w:rsid w:val="00094F0A"/>
    <w:rsid w:val="000A5976"/>
    <w:rsid w:val="000A6394"/>
    <w:rsid w:val="000C038A"/>
    <w:rsid w:val="000C6598"/>
    <w:rsid w:val="000D6382"/>
    <w:rsid w:val="000F23FA"/>
    <w:rsid w:val="00112C4C"/>
    <w:rsid w:val="00145D43"/>
    <w:rsid w:val="001562B4"/>
    <w:rsid w:val="0016286B"/>
    <w:rsid w:val="001670C1"/>
    <w:rsid w:val="00173484"/>
    <w:rsid w:val="00173561"/>
    <w:rsid w:val="00174EA3"/>
    <w:rsid w:val="001763A1"/>
    <w:rsid w:val="0018319A"/>
    <w:rsid w:val="00191183"/>
    <w:rsid w:val="00192C46"/>
    <w:rsid w:val="001A7B60"/>
    <w:rsid w:val="001B6CDC"/>
    <w:rsid w:val="001B7A65"/>
    <w:rsid w:val="001D2CB8"/>
    <w:rsid w:val="001E41F3"/>
    <w:rsid w:val="001E48D4"/>
    <w:rsid w:val="002218D6"/>
    <w:rsid w:val="0026004D"/>
    <w:rsid w:val="002610B1"/>
    <w:rsid w:val="00262C39"/>
    <w:rsid w:val="002636A7"/>
    <w:rsid w:val="00274611"/>
    <w:rsid w:val="0027588B"/>
    <w:rsid w:val="00275D12"/>
    <w:rsid w:val="002769EB"/>
    <w:rsid w:val="002860C4"/>
    <w:rsid w:val="00294A07"/>
    <w:rsid w:val="00296ED4"/>
    <w:rsid w:val="002A37C8"/>
    <w:rsid w:val="002A47EF"/>
    <w:rsid w:val="002B23F9"/>
    <w:rsid w:val="002B24C6"/>
    <w:rsid w:val="002B5741"/>
    <w:rsid w:val="002B5B7A"/>
    <w:rsid w:val="002C238A"/>
    <w:rsid w:val="002E595A"/>
    <w:rsid w:val="002F3EF4"/>
    <w:rsid w:val="00305409"/>
    <w:rsid w:val="00332A03"/>
    <w:rsid w:val="003457E8"/>
    <w:rsid w:val="0035319E"/>
    <w:rsid w:val="00353346"/>
    <w:rsid w:val="00360FE4"/>
    <w:rsid w:val="0037362C"/>
    <w:rsid w:val="00376EE0"/>
    <w:rsid w:val="00392B19"/>
    <w:rsid w:val="00396631"/>
    <w:rsid w:val="003A2401"/>
    <w:rsid w:val="003A4E1D"/>
    <w:rsid w:val="003A5266"/>
    <w:rsid w:val="003B597F"/>
    <w:rsid w:val="003B7609"/>
    <w:rsid w:val="003C12C0"/>
    <w:rsid w:val="003D15E8"/>
    <w:rsid w:val="003E1A36"/>
    <w:rsid w:val="003F54CE"/>
    <w:rsid w:val="003F7226"/>
    <w:rsid w:val="0040623E"/>
    <w:rsid w:val="004165D0"/>
    <w:rsid w:val="004242F1"/>
    <w:rsid w:val="00430F61"/>
    <w:rsid w:val="00445A80"/>
    <w:rsid w:val="00447131"/>
    <w:rsid w:val="00467657"/>
    <w:rsid w:val="00477480"/>
    <w:rsid w:val="00477891"/>
    <w:rsid w:val="004839DB"/>
    <w:rsid w:val="004865D4"/>
    <w:rsid w:val="004A1950"/>
    <w:rsid w:val="004A20E3"/>
    <w:rsid w:val="004B75B7"/>
    <w:rsid w:val="004F242B"/>
    <w:rsid w:val="004F3AB5"/>
    <w:rsid w:val="00501900"/>
    <w:rsid w:val="005124D6"/>
    <w:rsid w:val="0051580D"/>
    <w:rsid w:val="00520062"/>
    <w:rsid w:val="00522973"/>
    <w:rsid w:val="00540E46"/>
    <w:rsid w:val="00564BDC"/>
    <w:rsid w:val="005737DE"/>
    <w:rsid w:val="0058053D"/>
    <w:rsid w:val="00581C05"/>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5EEC"/>
    <w:rsid w:val="00635FBF"/>
    <w:rsid w:val="006370F5"/>
    <w:rsid w:val="00646C7D"/>
    <w:rsid w:val="006507DD"/>
    <w:rsid w:val="006760A7"/>
    <w:rsid w:val="006804C7"/>
    <w:rsid w:val="006848B8"/>
    <w:rsid w:val="00695808"/>
    <w:rsid w:val="006A5614"/>
    <w:rsid w:val="006B39DA"/>
    <w:rsid w:val="006B46FB"/>
    <w:rsid w:val="006D5605"/>
    <w:rsid w:val="006D56BC"/>
    <w:rsid w:val="006E21FB"/>
    <w:rsid w:val="006E5132"/>
    <w:rsid w:val="006E74F4"/>
    <w:rsid w:val="0071052A"/>
    <w:rsid w:val="00711130"/>
    <w:rsid w:val="007342B2"/>
    <w:rsid w:val="00737EC4"/>
    <w:rsid w:val="00742578"/>
    <w:rsid w:val="00743CBF"/>
    <w:rsid w:val="00744052"/>
    <w:rsid w:val="007606FB"/>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27CD2"/>
    <w:rsid w:val="00834189"/>
    <w:rsid w:val="00845D17"/>
    <w:rsid w:val="00855E0A"/>
    <w:rsid w:val="008579E4"/>
    <w:rsid w:val="008626E7"/>
    <w:rsid w:val="00870EE7"/>
    <w:rsid w:val="00893FBB"/>
    <w:rsid w:val="008B1F20"/>
    <w:rsid w:val="008C4751"/>
    <w:rsid w:val="008F686C"/>
    <w:rsid w:val="009017EE"/>
    <w:rsid w:val="00913222"/>
    <w:rsid w:val="00916443"/>
    <w:rsid w:val="00917C9F"/>
    <w:rsid w:val="00936638"/>
    <w:rsid w:val="00955FBC"/>
    <w:rsid w:val="009618C8"/>
    <w:rsid w:val="00964D42"/>
    <w:rsid w:val="00972525"/>
    <w:rsid w:val="009777D9"/>
    <w:rsid w:val="009824D9"/>
    <w:rsid w:val="00991B88"/>
    <w:rsid w:val="00995252"/>
    <w:rsid w:val="00996397"/>
    <w:rsid w:val="009A1081"/>
    <w:rsid w:val="009A579D"/>
    <w:rsid w:val="009C41C1"/>
    <w:rsid w:val="009D0CF2"/>
    <w:rsid w:val="009E0762"/>
    <w:rsid w:val="009E3297"/>
    <w:rsid w:val="009F251D"/>
    <w:rsid w:val="009F734F"/>
    <w:rsid w:val="009F739B"/>
    <w:rsid w:val="00A01D9B"/>
    <w:rsid w:val="00A04081"/>
    <w:rsid w:val="00A07158"/>
    <w:rsid w:val="00A20AB3"/>
    <w:rsid w:val="00A21256"/>
    <w:rsid w:val="00A246B6"/>
    <w:rsid w:val="00A3732B"/>
    <w:rsid w:val="00A47760"/>
    <w:rsid w:val="00A47E70"/>
    <w:rsid w:val="00A53AEF"/>
    <w:rsid w:val="00A7671C"/>
    <w:rsid w:val="00AB00C3"/>
    <w:rsid w:val="00AB1244"/>
    <w:rsid w:val="00AC1032"/>
    <w:rsid w:val="00AD1CD8"/>
    <w:rsid w:val="00AE5A38"/>
    <w:rsid w:val="00AE6E2C"/>
    <w:rsid w:val="00AF43A8"/>
    <w:rsid w:val="00B0502B"/>
    <w:rsid w:val="00B110D0"/>
    <w:rsid w:val="00B24807"/>
    <w:rsid w:val="00B258BB"/>
    <w:rsid w:val="00B3328B"/>
    <w:rsid w:val="00B437CA"/>
    <w:rsid w:val="00B45319"/>
    <w:rsid w:val="00B46B73"/>
    <w:rsid w:val="00B50379"/>
    <w:rsid w:val="00B560B5"/>
    <w:rsid w:val="00B67B97"/>
    <w:rsid w:val="00B70BDD"/>
    <w:rsid w:val="00B76C75"/>
    <w:rsid w:val="00B869A1"/>
    <w:rsid w:val="00B92574"/>
    <w:rsid w:val="00B96695"/>
    <w:rsid w:val="00B968C8"/>
    <w:rsid w:val="00BA3EC5"/>
    <w:rsid w:val="00BB5DFC"/>
    <w:rsid w:val="00BB67ED"/>
    <w:rsid w:val="00BD1197"/>
    <w:rsid w:val="00BD279D"/>
    <w:rsid w:val="00BD37EF"/>
    <w:rsid w:val="00BD6BB8"/>
    <w:rsid w:val="00BE3B42"/>
    <w:rsid w:val="00C00A4F"/>
    <w:rsid w:val="00C12DBC"/>
    <w:rsid w:val="00C31B69"/>
    <w:rsid w:val="00C5481B"/>
    <w:rsid w:val="00C573F0"/>
    <w:rsid w:val="00C74ED2"/>
    <w:rsid w:val="00C83C7C"/>
    <w:rsid w:val="00C95985"/>
    <w:rsid w:val="00C95B80"/>
    <w:rsid w:val="00CA6304"/>
    <w:rsid w:val="00CB20B4"/>
    <w:rsid w:val="00CB512D"/>
    <w:rsid w:val="00CB7B41"/>
    <w:rsid w:val="00CC2E48"/>
    <w:rsid w:val="00CC5026"/>
    <w:rsid w:val="00CC644F"/>
    <w:rsid w:val="00CE5C0E"/>
    <w:rsid w:val="00D03F9A"/>
    <w:rsid w:val="00D104E0"/>
    <w:rsid w:val="00D157AF"/>
    <w:rsid w:val="00D202FA"/>
    <w:rsid w:val="00D22EC2"/>
    <w:rsid w:val="00D34C73"/>
    <w:rsid w:val="00D35F6F"/>
    <w:rsid w:val="00D36470"/>
    <w:rsid w:val="00D52E29"/>
    <w:rsid w:val="00D56529"/>
    <w:rsid w:val="00D608C3"/>
    <w:rsid w:val="00D63018"/>
    <w:rsid w:val="00D95B9C"/>
    <w:rsid w:val="00D96016"/>
    <w:rsid w:val="00DA18E1"/>
    <w:rsid w:val="00DB66FE"/>
    <w:rsid w:val="00DD5724"/>
    <w:rsid w:val="00DE34CF"/>
    <w:rsid w:val="00DE6890"/>
    <w:rsid w:val="00DE6E1D"/>
    <w:rsid w:val="00DF3DBB"/>
    <w:rsid w:val="00E02866"/>
    <w:rsid w:val="00E10CDD"/>
    <w:rsid w:val="00E122A2"/>
    <w:rsid w:val="00E12E66"/>
    <w:rsid w:val="00E15BA1"/>
    <w:rsid w:val="00E27E18"/>
    <w:rsid w:val="00E64117"/>
    <w:rsid w:val="00E7192E"/>
    <w:rsid w:val="00E9743C"/>
    <w:rsid w:val="00EA32CF"/>
    <w:rsid w:val="00EB2397"/>
    <w:rsid w:val="00EB3F46"/>
    <w:rsid w:val="00EC4317"/>
    <w:rsid w:val="00EE0733"/>
    <w:rsid w:val="00EE7D7C"/>
    <w:rsid w:val="00EF376B"/>
    <w:rsid w:val="00EF3A19"/>
    <w:rsid w:val="00F03AED"/>
    <w:rsid w:val="00F03C76"/>
    <w:rsid w:val="00F10B0F"/>
    <w:rsid w:val="00F11694"/>
    <w:rsid w:val="00F161D2"/>
    <w:rsid w:val="00F24D63"/>
    <w:rsid w:val="00F2517E"/>
    <w:rsid w:val="00F25D98"/>
    <w:rsid w:val="00F27180"/>
    <w:rsid w:val="00F300FB"/>
    <w:rsid w:val="00F3190B"/>
    <w:rsid w:val="00F36616"/>
    <w:rsid w:val="00F61596"/>
    <w:rsid w:val="00F6690E"/>
    <w:rsid w:val="00F75006"/>
    <w:rsid w:val="00F77D84"/>
    <w:rsid w:val="00F9031B"/>
    <w:rsid w:val="00F90684"/>
    <w:rsid w:val="00F92B61"/>
    <w:rsid w:val="00FA55A0"/>
    <w:rsid w:val="00FB4304"/>
    <w:rsid w:val="00FB6386"/>
    <w:rsid w:val="00FB7DE3"/>
    <w:rsid w:val="00FE006E"/>
    <w:rsid w:val="00FE57B3"/>
    <w:rsid w:val="028F64C2"/>
    <w:rsid w:val="02B6410D"/>
    <w:rsid w:val="07716FC5"/>
    <w:rsid w:val="0CA30B4B"/>
    <w:rsid w:val="0D9376BC"/>
    <w:rsid w:val="0D9D6F7F"/>
    <w:rsid w:val="0EA67017"/>
    <w:rsid w:val="11D3054D"/>
    <w:rsid w:val="130645D2"/>
    <w:rsid w:val="13A40F9B"/>
    <w:rsid w:val="158B5C6F"/>
    <w:rsid w:val="16CE0C48"/>
    <w:rsid w:val="1D7E0209"/>
    <w:rsid w:val="21EF3D11"/>
    <w:rsid w:val="25D328A4"/>
    <w:rsid w:val="3190173E"/>
    <w:rsid w:val="3E507664"/>
    <w:rsid w:val="44FC0366"/>
    <w:rsid w:val="4522311D"/>
    <w:rsid w:val="46F40B4D"/>
    <w:rsid w:val="4AAA4283"/>
    <w:rsid w:val="4D43419C"/>
    <w:rsid w:val="55956932"/>
    <w:rsid w:val="57013F4B"/>
    <w:rsid w:val="58D376CA"/>
    <w:rsid w:val="5C743AE8"/>
    <w:rsid w:val="602A5CAA"/>
    <w:rsid w:val="60893919"/>
    <w:rsid w:val="63377F9B"/>
    <w:rsid w:val="64C612E4"/>
    <w:rsid w:val="66585D7A"/>
    <w:rsid w:val="72F15174"/>
    <w:rsid w:val="73D00F12"/>
    <w:rsid w:val="7506151E"/>
    <w:rsid w:val="7999518A"/>
    <w:rsid w:val="7B4D13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91"/>
    <w:qFormat/>
    <w:uiPriority w:val="0"/>
    <w:rPr>
      <w:rFonts w:ascii="Tahoma" w:hAnsi="Tahoma" w:cs="Tahoma"/>
      <w:sz w:val="16"/>
      <w:szCs w:val="16"/>
    </w:rPr>
  </w:style>
  <w:style w:type="paragraph" w:styleId="33">
    <w:name w:val="footer"/>
    <w:basedOn w:val="34"/>
    <w:link w:val="9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0"/>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link w:val="101"/>
    <w:qFormat/>
    <w:uiPriority w:val="0"/>
    <w:pPr>
      <w:keepNext w:val="0"/>
      <w:spacing w:before="0" w:after="240"/>
    </w:pPr>
  </w:style>
  <w:style w:type="paragraph" w:customStyle="1" w:styleId="55">
    <w:name w:val="TH"/>
    <w:basedOn w:val="1"/>
    <w:link w:val="100"/>
    <w:qFormat/>
    <w:uiPriority w:val="0"/>
    <w:pPr>
      <w:keepNext/>
      <w:keepLines/>
      <w:spacing w:before="60"/>
      <w:jc w:val="center"/>
    </w:pPr>
    <w:rPr>
      <w:rFonts w:ascii="Arial" w:hAnsi="Arial"/>
      <w:b/>
    </w:rPr>
  </w:style>
  <w:style w:type="paragraph" w:customStyle="1" w:styleId="56">
    <w:name w:val="NO"/>
    <w:basedOn w:val="1"/>
    <w:link w:val="95"/>
    <w:qFormat/>
    <w:uiPriority w:val="0"/>
    <w:pPr>
      <w:keepLines/>
      <w:ind w:left="1135" w:hanging="851"/>
    </w:pPr>
  </w:style>
  <w:style w:type="paragraph" w:customStyle="1" w:styleId="57">
    <w:name w:val="EX"/>
    <w:basedOn w:val="1"/>
    <w:link w:val="9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99"/>
    <w:qFormat/>
    <w:uiPriority w:val="0"/>
    <w:rPr>
      <w:color w:val="FF0000"/>
    </w:rPr>
  </w:style>
  <w:style w:type="paragraph" w:customStyle="1" w:styleId="75">
    <w:name w:val="B1"/>
    <w:basedOn w:val="14"/>
    <w:link w:val="98"/>
    <w:qFormat/>
    <w:uiPriority w:val="0"/>
  </w:style>
  <w:style w:type="paragraph" w:customStyle="1" w:styleId="76">
    <w:name w:val="B2"/>
    <w:basedOn w:val="13"/>
    <w:link w:val="102"/>
    <w:qFormat/>
    <w:uiPriority w:val="0"/>
  </w:style>
  <w:style w:type="paragraph" w:customStyle="1" w:styleId="77">
    <w:name w:val="B3"/>
    <w:basedOn w:val="12"/>
    <w:link w:val="103"/>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First Change"/>
    <w:basedOn w:val="1"/>
    <w:qFormat/>
    <w:uiPriority w:val="0"/>
    <w:pPr>
      <w:jc w:val="center"/>
    </w:pPr>
    <w:rPr>
      <w:color w:val="FF0000"/>
    </w:rPr>
  </w:style>
  <w:style w:type="character" w:customStyle="1" w:styleId="84">
    <w:name w:val="页眉 字符"/>
    <w:link w:val="34"/>
    <w:qFormat/>
    <w:uiPriority w:val="0"/>
    <w:rPr>
      <w:rFonts w:ascii="Arial" w:hAnsi="Arial"/>
      <w:b/>
      <w:sz w:val="18"/>
      <w:lang w:eastAsia="en-US"/>
    </w:rPr>
  </w:style>
  <w:style w:type="paragraph" w:customStyle="1" w:styleId="85">
    <w:name w:val="a"/>
    <w:basedOn w:val="81"/>
    <w:qFormat/>
    <w:uiPriority w:val="0"/>
    <w:pPr>
      <w:tabs>
        <w:tab w:val="left" w:pos="1985"/>
      </w:tabs>
    </w:pPr>
    <w:rPr>
      <w:rFonts w:cs="Arial"/>
      <w:b/>
      <w:bCs/>
      <w:color w:val="000000"/>
      <w:sz w:val="24"/>
      <w:szCs w:val="24"/>
      <w:lang w:val="en-US"/>
    </w:rPr>
  </w:style>
  <w:style w:type="paragraph" w:customStyle="1" w:styleId="86">
    <w:name w:val="Discussion"/>
    <w:basedOn w:val="1"/>
    <w:qFormat/>
    <w:uiPriority w:val="0"/>
    <w:rPr>
      <w:rFonts w:ascii="Arial" w:hAnsi="Arial" w:cs="Arial"/>
    </w:rPr>
  </w:style>
  <w:style w:type="character" w:customStyle="1" w:styleId="87">
    <w:name w:val="TAL Char"/>
    <w:link w:val="53"/>
    <w:qFormat/>
    <w:uiPriority w:val="0"/>
    <w:rPr>
      <w:rFonts w:ascii="Arial" w:hAnsi="Arial"/>
      <w:sz w:val="18"/>
      <w:lang w:val="en-GB"/>
    </w:rPr>
  </w:style>
  <w:style w:type="character" w:customStyle="1" w:styleId="88">
    <w:name w:val="TAC Char"/>
    <w:link w:val="52"/>
    <w:qFormat/>
    <w:uiPriority w:val="0"/>
    <w:rPr>
      <w:rFonts w:ascii="Arial" w:hAnsi="Arial"/>
      <w:sz w:val="18"/>
      <w:lang w:val="en-GB"/>
    </w:rPr>
  </w:style>
  <w:style w:type="character" w:customStyle="1" w:styleId="89">
    <w:name w:val="TAH Char"/>
    <w:link w:val="51"/>
    <w:qFormat/>
    <w:uiPriority w:val="0"/>
    <w:rPr>
      <w:rFonts w:ascii="Arial" w:hAnsi="Arial"/>
      <w:b/>
      <w:sz w:val="18"/>
      <w:lang w:val="en-GB"/>
    </w:rPr>
  </w:style>
  <w:style w:type="character" w:customStyle="1" w:styleId="90">
    <w:name w:val="标题 4 字符"/>
    <w:link w:val="5"/>
    <w:qFormat/>
    <w:uiPriority w:val="0"/>
    <w:rPr>
      <w:rFonts w:ascii="Arial" w:hAnsi="Arial"/>
      <w:sz w:val="24"/>
      <w:lang w:val="en-GB"/>
    </w:rPr>
  </w:style>
  <w:style w:type="character" w:customStyle="1" w:styleId="91">
    <w:name w:val="批注框文本 字符"/>
    <w:link w:val="32"/>
    <w:qFormat/>
    <w:uiPriority w:val="0"/>
    <w:rPr>
      <w:rFonts w:ascii="Tahoma" w:hAnsi="Tahoma" w:cs="Tahoma"/>
      <w:sz w:val="16"/>
      <w:szCs w:val="16"/>
      <w:lang w:val="en-GB"/>
    </w:rPr>
  </w:style>
  <w:style w:type="character" w:customStyle="1" w:styleId="92">
    <w:name w:val="标题 3 字符"/>
    <w:link w:val="4"/>
    <w:qFormat/>
    <w:uiPriority w:val="0"/>
    <w:rPr>
      <w:rFonts w:ascii="Arial" w:hAnsi="Arial"/>
      <w:sz w:val="28"/>
      <w:lang w:val="en-GB"/>
    </w:rPr>
  </w:style>
  <w:style w:type="character" w:customStyle="1" w:styleId="93">
    <w:name w:val="标题 6 字符"/>
    <w:link w:val="7"/>
    <w:qFormat/>
    <w:uiPriority w:val="0"/>
    <w:rPr>
      <w:rFonts w:ascii="Arial" w:hAnsi="Arial"/>
      <w:lang w:val="en-GB"/>
    </w:rPr>
  </w:style>
  <w:style w:type="character" w:customStyle="1" w:styleId="94">
    <w:name w:val="页脚 字符"/>
    <w:link w:val="33"/>
    <w:qFormat/>
    <w:uiPriority w:val="0"/>
    <w:rPr>
      <w:rFonts w:ascii="Arial" w:hAnsi="Arial"/>
      <w:b/>
      <w:i/>
      <w:sz w:val="18"/>
      <w:lang w:val="en-GB"/>
    </w:rPr>
  </w:style>
  <w:style w:type="character" w:customStyle="1" w:styleId="95">
    <w:name w:val="NO Char"/>
    <w:link w:val="56"/>
    <w:qFormat/>
    <w:uiPriority w:val="0"/>
    <w:rPr>
      <w:rFonts w:ascii="Times New Roman" w:hAnsi="Times New Roman"/>
      <w:lang w:val="en-GB"/>
    </w:rPr>
  </w:style>
  <w:style w:type="character" w:customStyle="1" w:styleId="96">
    <w:name w:val="PL Char"/>
    <w:link w:val="64"/>
    <w:qFormat/>
    <w:uiPriority w:val="0"/>
    <w:rPr>
      <w:rFonts w:ascii="Courier New" w:hAnsi="Courier New"/>
      <w:sz w:val="16"/>
      <w:lang w:val="en-GB"/>
    </w:rPr>
  </w:style>
  <w:style w:type="character" w:customStyle="1" w:styleId="97">
    <w:name w:val="EX Char"/>
    <w:link w:val="57"/>
    <w:qFormat/>
    <w:locked/>
    <w:uiPriority w:val="0"/>
    <w:rPr>
      <w:rFonts w:ascii="Times New Roman" w:hAnsi="Times New Roman"/>
      <w:lang w:val="en-GB"/>
    </w:rPr>
  </w:style>
  <w:style w:type="character" w:customStyle="1" w:styleId="98">
    <w:name w:val="B1 Char"/>
    <w:link w:val="75"/>
    <w:qFormat/>
    <w:uiPriority w:val="0"/>
    <w:rPr>
      <w:rFonts w:ascii="Times New Roman" w:hAnsi="Times New Roman"/>
      <w:lang w:val="en-GB"/>
    </w:rPr>
  </w:style>
  <w:style w:type="character" w:customStyle="1" w:styleId="99">
    <w:name w:val="Editor's Note Char"/>
    <w:link w:val="74"/>
    <w:qFormat/>
    <w:uiPriority w:val="0"/>
    <w:rPr>
      <w:rFonts w:ascii="Times New Roman" w:hAnsi="Times New Roman"/>
      <w:color w:val="FF0000"/>
      <w:lang w:val="en-GB"/>
    </w:rPr>
  </w:style>
  <w:style w:type="character" w:customStyle="1" w:styleId="100">
    <w:name w:val="TH Char"/>
    <w:link w:val="55"/>
    <w:qFormat/>
    <w:uiPriority w:val="0"/>
    <w:rPr>
      <w:rFonts w:ascii="Arial" w:hAnsi="Arial"/>
      <w:b/>
      <w:lang w:val="en-GB"/>
    </w:rPr>
  </w:style>
  <w:style w:type="character" w:customStyle="1" w:styleId="101">
    <w:name w:val="TF Char"/>
    <w:link w:val="54"/>
    <w:qFormat/>
    <w:uiPriority w:val="0"/>
    <w:rPr>
      <w:rFonts w:ascii="Arial" w:hAnsi="Arial"/>
      <w:b/>
      <w:lang w:val="en-GB"/>
    </w:rPr>
  </w:style>
  <w:style w:type="character" w:customStyle="1" w:styleId="102">
    <w:name w:val="B2 Char"/>
    <w:link w:val="76"/>
    <w:qFormat/>
    <w:uiPriority w:val="0"/>
    <w:rPr>
      <w:rFonts w:ascii="Times New Roman" w:hAnsi="Times New Roman"/>
      <w:lang w:val="en-GB"/>
    </w:rPr>
  </w:style>
  <w:style w:type="character" w:customStyle="1" w:styleId="103">
    <w:name w:val="B3 Char"/>
    <w:link w:val="77"/>
    <w:qFormat/>
    <w:uiPriority w:val="0"/>
    <w:rPr>
      <w:rFonts w:ascii="Times New Roman" w:hAnsi="Times New Roman"/>
      <w:lang w:val="en-GB"/>
    </w:rPr>
  </w:style>
  <w:style w:type="paragraph" w:customStyle="1" w:styleId="104">
    <w:name w:val="TAJ"/>
    <w:basedOn w:val="55"/>
    <w:qFormat/>
    <w:uiPriority w:val="0"/>
    <w:pPr>
      <w:overflowPunct w:val="0"/>
      <w:autoSpaceDE w:val="0"/>
      <w:autoSpaceDN w:val="0"/>
      <w:adjustRightInd w:val="0"/>
      <w:textAlignment w:val="baseline"/>
    </w:pPr>
  </w:style>
  <w:style w:type="paragraph" w:customStyle="1" w:styleId="105">
    <w:name w:val="Guidance"/>
    <w:basedOn w:val="1"/>
    <w:qFormat/>
    <w:uiPriority w:val="0"/>
    <w:pPr>
      <w:overflowPunct w:val="0"/>
      <w:autoSpaceDE w:val="0"/>
      <w:autoSpaceDN w:val="0"/>
      <w:adjustRightInd w:val="0"/>
      <w:textAlignment w:val="baseline"/>
    </w:pPr>
    <w:rPr>
      <w:i/>
      <w:color w:val="0000FF"/>
    </w:rPr>
  </w:style>
  <w:style w:type="paragraph" w:customStyle="1" w:styleId="106">
    <w:name w:val="修订1"/>
    <w:hidden/>
    <w:semiHidden/>
    <w:qFormat/>
    <w:uiPriority w:val="99"/>
    <w:rPr>
      <w:rFonts w:ascii="Times New Roman" w:hAnsi="Times New Roman" w:eastAsia="Times New Roman" w:cs="Times New Roman"/>
      <w:lang w:val="en-GB" w:eastAsia="en-US" w:bidi="ar-SA"/>
    </w:rPr>
  </w:style>
  <w:style w:type="character" w:customStyle="1" w:styleId="107">
    <w:name w:val="@他1"/>
    <w:semiHidden/>
    <w:unhideWhenUsed/>
    <w:qFormat/>
    <w:uiPriority w:val="99"/>
    <w:rPr>
      <w:color w:val="2B579A"/>
      <w:shd w:val="clear" w:color="auto" w:fill="E6E6E6"/>
    </w:rPr>
  </w:style>
  <w:style w:type="character" w:customStyle="1" w:styleId="108">
    <w:name w:val="脚注文本 字符"/>
    <w:link w:val="35"/>
    <w:qFormat/>
    <w:uiPriority w:val="0"/>
    <w:rPr>
      <w:rFonts w:ascii="Times New Roman" w:hAnsi="Times New Roman"/>
      <w:sz w:val="16"/>
      <w:lang w:val="en-GB"/>
    </w:rPr>
  </w:style>
  <w:style w:type="character" w:customStyle="1" w:styleId="109">
    <w:name w:val="批注文字 字符"/>
    <w:link w:val="29"/>
    <w:qFormat/>
    <w:uiPriority w:val="0"/>
    <w:rPr>
      <w:rFonts w:ascii="Times New Roman" w:hAnsi="Times New Roman"/>
      <w:lang w:val="en-GB"/>
    </w:rPr>
  </w:style>
  <w:style w:type="character" w:customStyle="1" w:styleId="110">
    <w:name w:val="批注主题 字符"/>
    <w:link w:val="41"/>
    <w:qFormat/>
    <w:uiPriority w:val="0"/>
    <w:rPr>
      <w:rFonts w:ascii="Times New Roman" w:hAnsi="Times New Roman"/>
      <w:b/>
      <w:bCs/>
      <w:lang w:val="en-GB"/>
    </w:rPr>
  </w:style>
  <w:style w:type="character" w:customStyle="1" w:styleId="111">
    <w:name w:val="文档结构图 字符"/>
    <w:link w:val="28"/>
    <w:qFormat/>
    <w:uiPriority w:val="0"/>
    <w:rPr>
      <w:rFonts w:ascii="Tahoma" w:hAnsi="Tahoma" w:cs="Tahoma"/>
      <w:shd w:val="clear" w:color="auto" w:fill="000080"/>
      <w:lang w:val="en-GB"/>
    </w:rPr>
  </w:style>
  <w:style w:type="paragraph" w:customStyle="1" w:styleId="112">
    <w:name w:val="Discusson B1"/>
    <w:basedOn w:val="86"/>
    <w:qFormat/>
    <w:uiPriority w:val="0"/>
    <w:pPr>
      <w:ind w:left="567" w:hanging="283"/>
    </w:pPr>
  </w:style>
  <w:style w:type="paragraph" w:customStyle="1" w:styleId="113">
    <w:name w:val="Discussion B2"/>
    <w:basedOn w:val="112"/>
    <w:qFormat/>
    <w:uiPriority w:val="0"/>
    <w:pPr>
      <w:ind w:left="851"/>
    </w:pPr>
  </w:style>
  <w:style w:type="character" w:customStyle="1" w:styleId="114">
    <w:name w:val="未处理的提及1"/>
    <w:basedOn w:val="43"/>
    <w:semiHidden/>
    <w:unhideWhenUsed/>
    <w:qFormat/>
    <w:uiPriority w:val="99"/>
    <w:rPr>
      <w:color w:val="605E5C"/>
      <w:shd w:val="clear" w:color="auto" w:fill="E1DFDD"/>
    </w:rPr>
  </w:style>
  <w:style w:type="paragraph" w:customStyle="1" w:styleId="115">
    <w:name w:val="3gpp title (city + tdoc number)"/>
    <w:basedOn w:val="34"/>
    <w:qFormat/>
    <w:uiPriority w:val="0"/>
    <w:pPr>
      <w:tabs>
        <w:tab w:val="right" w:pos="9923"/>
      </w:tabs>
      <w:ind w:right="-7"/>
    </w:pPr>
    <w:rPr>
      <w:rFonts w:cs="Arial"/>
      <w:bCs/>
      <w:sz w:val="24"/>
    </w:rPr>
  </w:style>
  <w:style w:type="character" w:customStyle="1" w:styleId="116">
    <w:name w:val="NO Zchn"/>
    <w:qFormat/>
    <w:uiPriority w:val="0"/>
  </w:style>
  <w:style w:type="paragraph" w:styleId="1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67741-D6DE-4A68-A17F-1283F0354D88}">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761</Words>
  <Characters>4344</Characters>
  <Lines>36</Lines>
  <Paragraphs>10</Paragraphs>
  <TotalTime>39</TotalTime>
  <ScaleCrop>false</ScaleCrop>
  <LinksUpToDate>false</LinksUpToDate>
  <CharactersWithSpaces>5095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2024-09-24T08:02:00Z</dcterms:created>
  <dc:creator>ZTE</dc:creator>
  <cp:lastModifiedBy>ZTE</cp:lastModifiedBy>
  <cp:lastPrinted>2411-12-31T15:59:00Z</cp:lastPrinted>
  <dcterms:modified xsi:type="dcterms:W3CDTF">2024-11-08T04:17:52Z</dcterms:modified>
  <dc:title>Template for Text Proposal - RAN3 Meeting no 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637BAC9C4B9A49318315DED3672DB224</vt:lpwstr>
  </property>
</Properties>
</file>